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36" w:tblpY="307"/>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2"/>
        <w:gridCol w:w="9162"/>
      </w:tblGrid>
      <w:tr w:rsidR="00163768" w:rsidRPr="00C63834" w:rsidTr="00A60227">
        <w:trPr>
          <w:trHeight w:val="980"/>
        </w:trPr>
        <w:tc>
          <w:tcPr>
            <w:tcW w:w="1782" w:type="dxa"/>
          </w:tcPr>
          <w:p w:rsidR="00163768" w:rsidRPr="00C63834" w:rsidRDefault="00163768" w:rsidP="00A60227">
            <w:pPr>
              <w:pStyle w:val="NoSpacing"/>
              <w:rPr>
                <w:b/>
                <w:bCs/>
              </w:rPr>
            </w:pPr>
            <w:r w:rsidRPr="00C63834">
              <w:t xml:space="preserve">   </w:t>
            </w:r>
            <w:r w:rsidRPr="00C63834">
              <w:rPr>
                <w:noProof/>
              </w:rPr>
              <w:drawing>
                <wp:inline distT="0" distB="0" distL="0" distR="0">
                  <wp:extent cx="714375" cy="666750"/>
                  <wp:effectExtent l="19050" t="0" r="9525" b="0"/>
                  <wp:docPr id="4" name="Picture 4" descr="E:\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ogo.tif"/>
                          <pic:cNvPicPr>
                            <a:picLocks noChangeAspect="1" noChangeArrowheads="1"/>
                          </pic:cNvPicPr>
                        </pic:nvPicPr>
                        <pic:blipFill>
                          <a:blip r:embed="rId6"/>
                          <a:srcRect/>
                          <a:stretch>
                            <a:fillRect/>
                          </a:stretch>
                        </pic:blipFill>
                        <pic:spPr bwMode="auto">
                          <a:xfrm>
                            <a:off x="0" y="0"/>
                            <a:ext cx="714375" cy="666750"/>
                          </a:xfrm>
                          <a:prstGeom prst="rect">
                            <a:avLst/>
                          </a:prstGeom>
                          <a:noFill/>
                          <a:ln w="9525">
                            <a:noFill/>
                            <a:miter lim="800000"/>
                            <a:headEnd/>
                            <a:tailEnd/>
                          </a:ln>
                        </pic:spPr>
                      </pic:pic>
                    </a:graphicData>
                  </a:graphic>
                </wp:inline>
              </w:drawing>
            </w:r>
          </w:p>
        </w:tc>
        <w:tc>
          <w:tcPr>
            <w:tcW w:w="9162" w:type="dxa"/>
          </w:tcPr>
          <w:p w:rsidR="00163768" w:rsidRPr="00163768" w:rsidRDefault="00163768" w:rsidP="00A60227">
            <w:pPr>
              <w:pStyle w:val="NoSpacing"/>
              <w:jc w:val="center"/>
              <w:rPr>
                <w:sz w:val="28"/>
                <w:szCs w:val="28"/>
              </w:rPr>
            </w:pPr>
            <w:r w:rsidRPr="00163768">
              <w:rPr>
                <w:sz w:val="28"/>
                <w:szCs w:val="28"/>
              </w:rPr>
              <w:t>PUNJAB FINANCIAL CORPORATION</w:t>
            </w:r>
          </w:p>
          <w:p w:rsidR="00163768" w:rsidRPr="00163768" w:rsidRDefault="00163768" w:rsidP="00A60227">
            <w:pPr>
              <w:pStyle w:val="NoSpacing"/>
              <w:jc w:val="center"/>
              <w:rPr>
                <w:sz w:val="28"/>
                <w:szCs w:val="28"/>
              </w:rPr>
            </w:pPr>
            <w:r w:rsidRPr="00163768">
              <w:rPr>
                <w:sz w:val="28"/>
                <w:szCs w:val="28"/>
              </w:rPr>
              <w:t>SCO No. 95-98, Bank Square, Sector 17-B, Chandigarh</w:t>
            </w:r>
          </w:p>
          <w:p w:rsidR="00163768" w:rsidRPr="00163768" w:rsidRDefault="00163768" w:rsidP="00A60227">
            <w:pPr>
              <w:pStyle w:val="NoSpacing"/>
              <w:jc w:val="center"/>
              <w:rPr>
                <w:sz w:val="28"/>
                <w:szCs w:val="28"/>
                <w:u w:val="single"/>
              </w:rPr>
            </w:pPr>
            <w:r w:rsidRPr="00163768">
              <w:rPr>
                <w:sz w:val="28"/>
                <w:szCs w:val="28"/>
                <w:u w:val="single"/>
              </w:rPr>
              <w:t>AUCTION NOTICE</w:t>
            </w:r>
          </w:p>
          <w:p w:rsidR="00163768" w:rsidRPr="00163768" w:rsidRDefault="00163768" w:rsidP="00A60227">
            <w:pPr>
              <w:pStyle w:val="NoSpacing"/>
              <w:jc w:val="center"/>
              <w:rPr>
                <w:sz w:val="28"/>
                <w:szCs w:val="28"/>
              </w:rPr>
            </w:pPr>
            <w:r w:rsidRPr="00163768">
              <w:rPr>
                <w:sz w:val="28"/>
                <w:szCs w:val="28"/>
              </w:rPr>
              <w:t>GOLDEN OPPORTUNITY TO OWN PRIME PROPERTY ON</w:t>
            </w:r>
          </w:p>
          <w:p w:rsidR="00163768" w:rsidRPr="00163768" w:rsidRDefault="00163768" w:rsidP="00A60227">
            <w:pPr>
              <w:pStyle w:val="NoSpacing"/>
              <w:jc w:val="center"/>
              <w:rPr>
                <w:b/>
                <w:bCs/>
                <w:sz w:val="28"/>
                <w:szCs w:val="28"/>
              </w:rPr>
            </w:pPr>
            <w:r w:rsidRPr="00163768">
              <w:rPr>
                <w:sz w:val="28"/>
                <w:szCs w:val="28"/>
              </w:rPr>
              <w:t>"AS IS WHERE IS BASIS"</w:t>
            </w:r>
          </w:p>
        </w:tc>
      </w:tr>
    </w:tbl>
    <w:p w:rsidR="00163768" w:rsidRDefault="00163768" w:rsidP="00163768">
      <w:pPr>
        <w:pStyle w:val="NoSpacing"/>
      </w:pPr>
    </w:p>
    <w:p w:rsidR="00D14A94" w:rsidRPr="00C63834" w:rsidRDefault="009F204A" w:rsidP="00163768">
      <w:pPr>
        <w:pStyle w:val="NoSpacing"/>
        <w:jc w:val="right"/>
      </w:pPr>
      <w:r>
        <w:t xml:space="preserve">           </w:t>
      </w:r>
      <w:r w:rsidR="00A8600D">
        <w:t xml:space="preserve">          </w:t>
      </w:r>
      <w:proofErr w:type="gramStart"/>
      <w:r w:rsidR="001A1DA3" w:rsidRPr="00C63834">
        <w:t>Advt. No.</w:t>
      </w:r>
      <w:proofErr w:type="gramEnd"/>
      <w:r w:rsidR="001A1DA3" w:rsidRPr="00C63834">
        <w:t xml:space="preserve"> SOP-0</w:t>
      </w:r>
      <w:r w:rsidR="00163768">
        <w:t>1</w:t>
      </w:r>
      <w:r w:rsidR="001A1DA3" w:rsidRPr="00C63834">
        <w:t>/201</w:t>
      </w:r>
      <w:r w:rsidR="00163768">
        <w:t>8-19</w:t>
      </w:r>
      <w:r w:rsidR="005E6FC1">
        <w:tab/>
      </w:r>
    </w:p>
    <w:p w:rsidR="007E6512" w:rsidRPr="00C63834" w:rsidRDefault="001A1DA3" w:rsidP="00163768">
      <w:pPr>
        <w:pStyle w:val="NoSpacing"/>
      </w:pPr>
      <w:r w:rsidRPr="00C63834">
        <w:t>Note: K-</w:t>
      </w:r>
      <w:proofErr w:type="spellStart"/>
      <w:r w:rsidRPr="00C63834">
        <w:t>Kanal</w:t>
      </w:r>
      <w:proofErr w:type="spellEnd"/>
      <w:r w:rsidRPr="00C63834">
        <w:t>, M-Marla, B-</w:t>
      </w:r>
      <w:proofErr w:type="spellStart"/>
      <w:r w:rsidRPr="00C63834">
        <w:t>Bigha</w:t>
      </w:r>
      <w:proofErr w:type="spellEnd"/>
      <w:r w:rsidRPr="00C63834">
        <w:t>, B-</w:t>
      </w:r>
      <w:proofErr w:type="spellStart"/>
      <w:r w:rsidRPr="00C63834">
        <w:t>Biswa</w:t>
      </w:r>
      <w:proofErr w:type="spellEnd"/>
      <w:r w:rsidRPr="00C63834">
        <w:t>, B-</w:t>
      </w:r>
      <w:proofErr w:type="spellStart"/>
      <w:r w:rsidRPr="00C63834">
        <w:t>Biswasi</w:t>
      </w:r>
      <w:proofErr w:type="spellEnd"/>
      <w:r w:rsidRPr="00C63834">
        <w:t xml:space="preserve"> (Area mentioned in the advertisement is as per mortgage</w:t>
      </w:r>
      <w:r w:rsidR="00BF502A">
        <w:t>)</w:t>
      </w:r>
      <w:r w:rsidRPr="00C63834">
        <w:t xml:space="preserve"> </w:t>
      </w:r>
    </w:p>
    <w:p w:rsidR="007E6512" w:rsidRPr="00C63834" w:rsidRDefault="00150ECC" w:rsidP="00163768">
      <w:pPr>
        <w:pStyle w:val="NoSpacing"/>
        <w:rPr>
          <w:b/>
          <w:u w:val="single"/>
        </w:rPr>
      </w:pPr>
      <w:r w:rsidRPr="00C63834">
        <w:rPr>
          <w:b/>
          <w:u w:val="single"/>
        </w:rPr>
        <w:t>T</w:t>
      </w:r>
      <w:r w:rsidR="001A1DA3" w:rsidRPr="00C63834">
        <w:rPr>
          <w:b/>
          <w:u w:val="single"/>
        </w:rPr>
        <w:t xml:space="preserve">erms &amp; </w:t>
      </w:r>
      <w:r w:rsidRPr="00C63834">
        <w:rPr>
          <w:b/>
          <w:u w:val="single"/>
        </w:rPr>
        <w:t>C</w:t>
      </w:r>
      <w:r w:rsidR="001A1DA3" w:rsidRPr="00C63834">
        <w:rPr>
          <w:b/>
          <w:u w:val="single"/>
        </w:rPr>
        <w:t xml:space="preserve">onditions </w:t>
      </w:r>
      <w:r w:rsidR="00A1328B">
        <w:rPr>
          <w:b/>
          <w:u w:val="single"/>
        </w:rPr>
        <w:t xml:space="preserve">of acquired units for sale </w:t>
      </w:r>
      <w:r w:rsidR="007E6512" w:rsidRPr="00C63834">
        <w:rPr>
          <w:b/>
          <w:u w:val="single"/>
        </w:rPr>
        <w:t>are as under:-</w:t>
      </w:r>
    </w:p>
    <w:tbl>
      <w:tblPr>
        <w:tblStyle w:val="TableGrid"/>
        <w:tblW w:w="0" w:type="auto"/>
        <w:tblLook w:val="04A0"/>
      </w:tblPr>
      <w:tblGrid>
        <w:gridCol w:w="522"/>
        <w:gridCol w:w="10431"/>
      </w:tblGrid>
      <w:tr w:rsidR="001E51E8" w:rsidRPr="00C63834" w:rsidTr="009E4783">
        <w:tc>
          <w:tcPr>
            <w:tcW w:w="522" w:type="dxa"/>
          </w:tcPr>
          <w:p w:rsidR="001E51E8" w:rsidRPr="00C63834" w:rsidRDefault="009F204A" w:rsidP="00163768">
            <w:pPr>
              <w:pStyle w:val="NoSpacing"/>
            </w:pPr>
            <w:r>
              <w:t>1</w:t>
            </w:r>
          </w:p>
        </w:tc>
        <w:tc>
          <w:tcPr>
            <w:tcW w:w="10431" w:type="dxa"/>
          </w:tcPr>
          <w:p w:rsidR="001E51E8" w:rsidRPr="00C63834" w:rsidRDefault="001E51E8" w:rsidP="0073745D">
            <w:pPr>
              <w:pStyle w:val="NoSpacing"/>
              <w:jc w:val="both"/>
            </w:pPr>
            <w:r w:rsidRPr="00C63834">
              <w:t xml:space="preserve">The offers will be opened on the date &amp; time mentioned above in the Committee Room of PFC in the presence of the parties where </w:t>
            </w:r>
            <w:proofErr w:type="spellStart"/>
            <w:r w:rsidRPr="00C63834">
              <w:t>offerers</w:t>
            </w:r>
            <w:proofErr w:type="spellEnd"/>
            <w:r w:rsidRPr="00C63834">
              <w:t>/bidders will have an opportunity to increase their offer by inter-se bidding.</w:t>
            </w:r>
          </w:p>
        </w:tc>
      </w:tr>
      <w:tr w:rsidR="009F204A" w:rsidRPr="00C63834" w:rsidTr="009E4783">
        <w:tc>
          <w:tcPr>
            <w:tcW w:w="522" w:type="dxa"/>
          </w:tcPr>
          <w:p w:rsidR="009F204A" w:rsidRPr="00C63834" w:rsidRDefault="009F204A" w:rsidP="005C4950">
            <w:pPr>
              <w:pStyle w:val="NoSpacing"/>
            </w:pPr>
            <w:r w:rsidRPr="00C63834">
              <w:t>2</w:t>
            </w:r>
          </w:p>
        </w:tc>
        <w:tc>
          <w:tcPr>
            <w:tcW w:w="10431" w:type="dxa"/>
          </w:tcPr>
          <w:p w:rsidR="009F204A" w:rsidRPr="00C63834" w:rsidRDefault="009F204A" w:rsidP="0073745D">
            <w:pPr>
              <w:pStyle w:val="NoSpacing"/>
              <w:jc w:val="both"/>
            </w:pPr>
            <w:r w:rsidRPr="00C63834">
              <w:t xml:space="preserve">Inspection of the aforementioned property will be allowed to the intending purchasers with prior appointment on the Phone numbers given below on any working day from </w:t>
            </w:r>
            <w:r>
              <w:t>1</w:t>
            </w:r>
            <w:r w:rsidR="0073745D">
              <w:t>7</w:t>
            </w:r>
            <w:r>
              <w:t>.04.2018</w:t>
            </w:r>
            <w:r w:rsidRPr="00C63834">
              <w:t xml:space="preserve"> to </w:t>
            </w:r>
            <w:r w:rsidR="0073745D">
              <w:t>04</w:t>
            </w:r>
            <w:r>
              <w:t>.0</w:t>
            </w:r>
            <w:r w:rsidR="0073745D">
              <w:t>5</w:t>
            </w:r>
            <w:r>
              <w:t>.2018</w:t>
            </w:r>
            <w:r w:rsidRPr="00C63834">
              <w:t>. The intending bidder may carry out due diligence with regard to land from the Revenue Authorities.</w:t>
            </w:r>
          </w:p>
        </w:tc>
      </w:tr>
      <w:tr w:rsidR="009F204A" w:rsidRPr="00C63834" w:rsidTr="009E4783">
        <w:tc>
          <w:tcPr>
            <w:tcW w:w="522" w:type="dxa"/>
          </w:tcPr>
          <w:p w:rsidR="009F204A" w:rsidRPr="00C63834" w:rsidRDefault="009F204A" w:rsidP="005C4950">
            <w:pPr>
              <w:pStyle w:val="NoSpacing"/>
            </w:pPr>
            <w:r w:rsidRPr="00C63834">
              <w:t>3</w:t>
            </w:r>
          </w:p>
        </w:tc>
        <w:tc>
          <w:tcPr>
            <w:tcW w:w="10431" w:type="dxa"/>
          </w:tcPr>
          <w:p w:rsidR="009F204A" w:rsidRPr="00C63834" w:rsidRDefault="009F204A" w:rsidP="0073745D">
            <w:pPr>
              <w:pStyle w:val="NoSpacing"/>
              <w:jc w:val="both"/>
            </w:pPr>
            <w:r w:rsidRPr="00C63834">
              <w:t>The intending purchaser will be responsible for all statutory/government dues/local bodies liabilities in respect of land &amp; building, if any.</w:t>
            </w:r>
          </w:p>
        </w:tc>
      </w:tr>
      <w:tr w:rsidR="009F204A" w:rsidRPr="00C63834" w:rsidTr="009E4783">
        <w:tc>
          <w:tcPr>
            <w:tcW w:w="522" w:type="dxa"/>
          </w:tcPr>
          <w:p w:rsidR="009F204A" w:rsidRPr="00C63834" w:rsidRDefault="009F204A" w:rsidP="005C4950">
            <w:pPr>
              <w:pStyle w:val="NoSpacing"/>
            </w:pPr>
            <w:r w:rsidRPr="00C63834">
              <w:t>4</w:t>
            </w:r>
          </w:p>
        </w:tc>
        <w:tc>
          <w:tcPr>
            <w:tcW w:w="10431" w:type="dxa"/>
          </w:tcPr>
          <w:p w:rsidR="009F204A" w:rsidRPr="00C63834" w:rsidRDefault="009F204A" w:rsidP="0073745D">
            <w:pPr>
              <w:pStyle w:val="NoSpacing"/>
              <w:jc w:val="both"/>
            </w:pPr>
            <w:r w:rsidRPr="00C63834">
              <w:t xml:space="preserve">The prospective buyers are required to obtain NOC from PSIEC in respect of lease hold plots allotted by PSIEC and shall also be responsible for all statutory/local </w:t>
            </w:r>
            <w:proofErr w:type="gramStart"/>
            <w:r w:rsidRPr="00C63834">
              <w:t>bodies</w:t>
            </w:r>
            <w:proofErr w:type="gramEnd"/>
            <w:r w:rsidRPr="00C63834">
              <w:t xml:space="preserve"> liabilities, if any. </w:t>
            </w:r>
          </w:p>
        </w:tc>
      </w:tr>
      <w:tr w:rsidR="009F204A" w:rsidRPr="00C63834" w:rsidTr="009E4783">
        <w:tc>
          <w:tcPr>
            <w:tcW w:w="522" w:type="dxa"/>
          </w:tcPr>
          <w:p w:rsidR="009F204A" w:rsidRPr="00C63834" w:rsidRDefault="009F204A" w:rsidP="005C4950">
            <w:pPr>
              <w:pStyle w:val="NoSpacing"/>
            </w:pPr>
            <w:r w:rsidRPr="00C63834">
              <w:t>5</w:t>
            </w:r>
          </w:p>
        </w:tc>
        <w:tc>
          <w:tcPr>
            <w:tcW w:w="10431" w:type="dxa"/>
          </w:tcPr>
          <w:p w:rsidR="009F204A" w:rsidRPr="00C63834" w:rsidRDefault="009F204A" w:rsidP="0073745D">
            <w:pPr>
              <w:pStyle w:val="NoSpacing"/>
              <w:jc w:val="both"/>
            </w:pPr>
            <w:r w:rsidRPr="00C63834">
              <w:t xml:space="preserve">The prospective buyers, who have purchased the property in the past from the Corporation and are in still default, shall not be eligible to give bid. </w:t>
            </w:r>
          </w:p>
        </w:tc>
      </w:tr>
      <w:tr w:rsidR="009F204A" w:rsidRPr="00C63834" w:rsidTr="009E4783">
        <w:tc>
          <w:tcPr>
            <w:tcW w:w="522" w:type="dxa"/>
          </w:tcPr>
          <w:p w:rsidR="009F204A" w:rsidRPr="00C63834" w:rsidRDefault="009F204A" w:rsidP="005C4950">
            <w:pPr>
              <w:pStyle w:val="NoSpacing"/>
            </w:pPr>
            <w:r w:rsidRPr="00C63834">
              <w:t>6</w:t>
            </w:r>
          </w:p>
        </w:tc>
        <w:tc>
          <w:tcPr>
            <w:tcW w:w="10431" w:type="dxa"/>
          </w:tcPr>
          <w:p w:rsidR="009F204A" w:rsidRPr="00C63834" w:rsidRDefault="009F204A" w:rsidP="0073745D">
            <w:pPr>
              <w:pStyle w:val="NoSpacing"/>
              <w:jc w:val="both"/>
            </w:pPr>
            <w:r w:rsidRPr="00C63834">
              <w:t xml:space="preserve">The detailed terms &amp; conditions of the offer for sale can be had from the Head Office as well as District Offices of PFC at </w:t>
            </w:r>
            <w:proofErr w:type="spellStart"/>
            <w:r w:rsidRPr="00C63834">
              <w:t>Jalandhar</w:t>
            </w:r>
            <w:proofErr w:type="spellEnd"/>
            <w:r w:rsidRPr="00C63834">
              <w:t xml:space="preserve"> and Ludhiana on any working day.</w:t>
            </w:r>
          </w:p>
        </w:tc>
      </w:tr>
      <w:tr w:rsidR="009F204A" w:rsidRPr="00C63834" w:rsidTr="009E4783">
        <w:tc>
          <w:tcPr>
            <w:tcW w:w="522" w:type="dxa"/>
          </w:tcPr>
          <w:p w:rsidR="009F204A" w:rsidRPr="00C63834" w:rsidRDefault="009F204A" w:rsidP="005C4950">
            <w:pPr>
              <w:pStyle w:val="NoSpacing"/>
            </w:pPr>
            <w:r w:rsidRPr="00C63834">
              <w:t>7</w:t>
            </w:r>
          </w:p>
        </w:tc>
        <w:tc>
          <w:tcPr>
            <w:tcW w:w="10431" w:type="dxa"/>
          </w:tcPr>
          <w:p w:rsidR="009F204A" w:rsidRPr="00C63834" w:rsidRDefault="009F204A" w:rsidP="0073745D">
            <w:pPr>
              <w:pStyle w:val="NoSpacing"/>
              <w:jc w:val="both"/>
            </w:pPr>
            <w:r w:rsidRPr="00C63834">
              <w:t>The successful bidder shall have to deposit 25% of the sale consideration including earnest money already paid within 10 days in case of purchase of entire unit and 100% of sale consideration including earnest money already paid in case of purchase of plant and machinery and/or vehicle only within 30 days from the date of issue of offer letter.</w:t>
            </w:r>
          </w:p>
        </w:tc>
      </w:tr>
      <w:tr w:rsidR="009F204A" w:rsidRPr="00C63834" w:rsidTr="009E4783">
        <w:tc>
          <w:tcPr>
            <w:tcW w:w="522" w:type="dxa"/>
          </w:tcPr>
          <w:p w:rsidR="009F204A" w:rsidRPr="00C63834" w:rsidRDefault="009F204A" w:rsidP="005C4950">
            <w:pPr>
              <w:pStyle w:val="NoSpacing"/>
            </w:pPr>
            <w:r w:rsidRPr="00C63834">
              <w:t>8</w:t>
            </w:r>
          </w:p>
        </w:tc>
        <w:tc>
          <w:tcPr>
            <w:tcW w:w="10431" w:type="dxa"/>
          </w:tcPr>
          <w:p w:rsidR="009F204A" w:rsidRPr="00C63834" w:rsidRDefault="009F204A" w:rsidP="0073745D">
            <w:pPr>
              <w:pStyle w:val="NoSpacing"/>
              <w:jc w:val="both"/>
            </w:pPr>
            <w:r w:rsidRPr="00C63834">
              <w:t xml:space="preserve">In case of purchase of entire unit, the balance 75% of sale consideration is payable in monthly equated installments without any interest in 3 months (if the sale value is less than Rs.100.00 lacs) and 6 months (if the sale consideration is Rs.100.00 </w:t>
            </w:r>
            <w:proofErr w:type="spellStart"/>
            <w:r w:rsidRPr="00C63834">
              <w:t>lacs</w:t>
            </w:r>
            <w:proofErr w:type="spellEnd"/>
            <w:r w:rsidRPr="00C63834">
              <w:t xml:space="preserve"> </w:t>
            </w:r>
            <w:proofErr w:type="spellStart"/>
            <w:r w:rsidRPr="00C63834">
              <w:t>upto</w:t>
            </w:r>
            <w:proofErr w:type="spellEnd"/>
            <w:r w:rsidRPr="00C63834">
              <w:t xml:space="preserve"> Rs. 150.00 lacs). However, the interest @12% p.a. compounded quarterly is payable from the date of sale agreement if total sale consideration is paid after 3 months but within 12 months (if the sale value is less than Rs.100.00 lacs) and beyond 6 months but within 18 months (if the sale consideration is </w:t>
            </w:r>
            <w:proofErr w:type="spellStart"/>
            <w:r w:rsidRPr="00C63834">
              <w:t>upto</w:t>
            </w:r>
            <w:proofErr w:type="spellEnd"/>
            <w:r w:rsidRPr="00C63834">
              <w:t xml:space="preserve"> Rs.150.00 </w:t>
            </w:r>
            <w:proofErr w:type="spellStart"/>
            <w:r w:rsidRPr="00C63834">
              <w:t>lacs</w:t>
            </w:r>
            <w:proofErr w:type="spellEnd"/>
            <w:r w:rsidRPr="00C63834">
              <w:t xml:space="preserve">). In case of sale consideration is more than 150.00 </w:t>
            </w:r>
            <w:proofErr w:type="spellStart"/>
            <w:r w:rsidRPr="00C63834">
              <w:t>lacs</w:t>
            </w:r>
            <w:proofErr w:type="spellEnd"/>
            <w:r w:rsidRPr="00C63834">
              <w:t xml:space="preserve"> and </w:t>
            </w:r>
            <w:proofErr w:type="spellStart"/>
            <w:r w:rsidRPr="00C63834">
              <w:t>upto</w:t>
            </w:r>
            <w:proofErr w:type="spellEnd"/>
            <w:r w:rsidRPr="00C63834">
              <w:t xml:space="preserve"> Rs. 500.00 lacs, the interest free period to be allowed shall continue to remain the same i.e. 6 months from the date of sale agreement. However, if the purchaser wants to avail longer period, then in such cases, the maximum period allowed for the repayment of sale consideration shall stand enhanced from present 1½ years to two years along with interest @12% compounded quarterly from the date of sale agreement as per existing practice. For units sold for more than Rs. 500.00 lacs, the purchaser shall have the liberty to pay up the balance 75% of the sale consideration in monthly equated installments within 9 months from the date of sale agreement without interest or within a maximum period of two years from date of sale agreement, but interest @12% compounded quarterly as per existing practice.</w:t>
            </w:r>
          </w:p>
        </w:tc>
      </w:tr>
      <w:tr w:rsidR="009F204A" w:rsidRPr="00C63834" w:rsidTr="009E4783">
        <w:tc>
          <w:tcPr>
            <w:tcW w:w="522" w:type="dxa"/>
          </w:tcPr>
          <w:p w:rsidR="009F204A" w:rsidRPr="00C63834" w:rsidRDefault="009F204A" w:rsidP="005C4950">
            <w:pPr>
              <w:pStyle w:val="NoSpacing"/>
            </w:pPr>
            <w:r w:rsidRPr="00C63834">
              <w:t>9</w:t>
            </w:r>
          </w:p>
        </w:tc>
        <w:tc>
          <w:tcPr>
            <w:tcW w:w="10431" w:type="dxa"/>
          </w:tcPr>
          <w:p w:rsidR="009F204A" w:rsidRPr="00C63834" w:rsidRDefault="009F204A" w:rsidP="0073745D">
            <w:pPr>
              <w:pStyle w:val="NoSpacing"/>
              <w:jc w:val="both"/>
            </w:pPr>
            <w:r w:rsidRPr="00C63834">
              <w:t>The possession will be handed over after receipt of entire sale consideration.</w:t>
            </w:r>
          </w:p>
        </w:tc>
      </w:tr>
      <w:tr w:rsidR="009F204A" w:rsidRPr="00C63834" w:rsidTr="009E4783">
        <w:tc>
          <w:tcPr>
            <w:tcW w:w="522" w:type="dxa"/>
          </w:tcPr>
          <w:p w:rsidR="009F204A" w:rsidRPr="00C63834" w:rsidRDefault="009F204A" w:rsidP="005C4950">
            <w:pPr>
              <w:pStyle w:val="NoSpacing"/>
            </w:pPr>
            <w:r w:rsidRPr="00C63834">
              <w:t>10</w:t>
            </w:r>
          </w:p>
        </w:tc>
        <w:tc>
          <w:tcPr>
            <w:tcW w:w="10431" w:type="dxa"/>
          </w:tcPr>
          <w:p w:rsidR="009F204A" w:rsidRPr="00C63834" w:rsidRDefault="009F204A" w:rsidP="0073745D">
            <w:pPr>
              <w:pStyle w:val="NoSpacing"/>
              <w:jc w:val="both"/>
            </w:pPr>
            <w:r w:rsidRPr="00C63834">
              <w:t xml:space="preserve">If the offer made is accepted by the Corporation, and </w:t>
            </w:r>
            <w:proofErr w:type="spellStart"/>
            <w:r w:rsidRPr="00C63834">
              <w:t>offerer</w:t>
            </w:r>
            <w:proofErr w:type="spellEnd"/>
            <w:r w:rsidRPr="00C63834">
              <w:t xml:space="preserve"> does not deposit the 25% of the bid amount within stipulated period, the earnest money deposited by the </w:t>
            </w:r>
            <w:proofErr w:type="spellStart"/>
            <w:r w:rsidRPr="00C63834">
              <w:t>offerer</w:t>
            </w:r>
            <w:proofErr w:type="spellEnd"/>
            <w:r w:rsidRPr="00C63834">
              <w:t xml:space="preserve"> shall stand forfeited.</w:t>
            </w:r>
          </w:p>
        </w:tc>
      </w:tr>
      <w:tr w:rsidR="009F204A" w:rsidRPr="00C63834" w:rsidTr="009E4783">
        <w:tc>
          <w:tcPr>
            <w:tcW w:w="522" w:type="dxa"/>
          </w:tcPr>
          <w:p w:rsidR="009F204A" w:rsidRPr="00C63834" w:rsidRDefault="009F204A" w:rsidP="005C4950">
            <w:pPr>
              <w:pStyle w:val="NoSpacing"/>
            </w:pPr>
            <w:r w:rsidRPr="00C63834">
              <w:t>11</w:t>
            </w:r>
          </w:p>
        </w:tc>
        <w:tc>
          <w:tcPr>
            <w:tcW w:w="10431" w:type="dxa"/>
          </w:tcPr>
          <w:p w:rsidR="009F204A" w:rsidRPr="00C63834" w:rsidRDefault="009F204A" w:rsidP="0073745D">
            <w:pPr>
              <w:pStyle w:val="NoSpacing"/>
              <w:jc w:val="both"/>
            </w:pPr>
            <w:r w:rsidRPr="00C63834">
              <w:t>Original promoters/borrowers/guarantors may join sale proceedings on the date and time mentioned above or they may also make their offers or bring other parties to bid for open auction in response to this advertisement as per the schedule indicated above against each unit along with Demand Draft as indicated against each of the unit as above. No separate notice shall be given to the original promoters/guarantors and their not joining at this stage shall automatically be deemed that they are not interested in the purchase of the captioned assets.</w:t>
            </w:r>
          </w:p>
        </w:tc>
      </w:tr>
      <w:tr w:rsidR="009F204A" w:rsidRPr="00C63834" w:rsidTr="009E4783">
        <w:tc>
          <w:tcPr>
            <w:tcW w:w="522" w:type="dxa"/>
          </w:tcPr>
          <w:p w:rsidR="009F204A" w:rsidRPr="00C63834" w:rsidRDefault="009F204A" w:rsidP="005C4950">
            <w:pPr>
              <w:pStyle w:val="NoSpacing"/>
            </w:pPr>
            <w:r w:rsidRPr="00C63834">
              <w:t>12</w:t>
            </w:r>
          </w:p>
        </w:tc>
        <w:tc>
          <w:tcPr>
            <w:tcW w:w="10431" w:type="dxa"/>
          </w:tcPr>
          <w:p w:rsidR="009F204A" w:rsidRPr="00C63834" w:rsidRDefault="009F204A" w:rsidP="0073745D">
            <w:pPr>
              <w:pStyle w:val="NoSpacing"/>
              <w:jc w:val="both"/>
            </w:pPr>
            <w:r w:rsidRPr="00C63834">
              <w:t>Bidder shall submit copy of PAN Card and Proof of Residence along with bid.</w:t>
            </w:r>
          </w:p>
        </w:tc>
      </w:tr>
      <w:tr w:rsidR="009F204A" w:rsidRPr="00C63834" w:rsidTr="009E4783">
        <w:tc>
          <w:tcPr>
            <w:tcW w:w="522" w:type="dxa"/>
          </w:tcPr>
          <w:p w:rsidR="009F204A" w:rsidRPr="00C63834" w:rsidRDefault="009F204A" w:rsidP="005C4950">
            <w:pPr>
              <w:pStyle w:val="NoSpacing"/>
            </w:pPr>
            <w:r w:rsidRPr="00C63834">
              <w:t>13</w:t>
            </w:r>
          </w:p>
        </w:tc>
        <w:tc>
          <w:tcPr>
            <w:tcW w:w="10431" w:type="dxa"/>
          </w:tcPr>
          <w:p w:rsidR="009F204A" w:rsidRPr="00C63834" w:rsidRDefault="009F204A" w:rsidP="0073745D">
            <w:pPr>
              <w:pStyle w:val="NoSpacing"/>
              <w:jc w:val="both"/>
            </w:pPr>
            <w:r w:rsidRPr="00C63834">
              <w:t>The prospective bidder while submitting his offer should mention “THE OFFER FOR THE PURCHASE OF (M/s Name of the unit)”</w:t>
            </w:r>
            <w:proofErr w:type="gramStart"/>
            <w:r w:rsidRPr="00C63834">
              <w:t>,</w:t>
            </w:r>
            <w:proofErr w:type="gramEnd"/>
            <w:r w:rsidRPr="00C63834">
              <w:t xml:space="preserve"> his address and contact no. on the envelope containing the bid.  Use separate envelope for each bid.</w:t>
            </w:r>
          </w:p>
        </w:tc>
      </w:tr>
      <w:tr w:rsidR="009F204A" w:rsidRPr="00C63834" w:rsidTr="009E4783">
        <w:trPr>
          <w:trHeight w:val="233"/>
        </w:trPr>
        <w:tc>
          <w:tcPr>
            <w:tcW w:w="522" w:type="dxa"/>
          </w:tcPr>
          <w:p w:rsidR="009F204A" w:rsidRPr="00C63834" w:rsidRDefault="009F204A" w:rsidP="005C4950">
            <w:pPr>
              <w:pStyle w:val="NoSpacing"/>
            </w:pPr>
            <w:r w:rsidRPr="00C63834">
              <w:t>14</w:t>
            </w:r>
          </w:p>
        </w:tc>
        <w:tc>
          <w:tcPr>
            <w:tcW w:w="10431" w:type="dxa"/>
          </w:tcPr>
          <w:p w:rsidR="009F204A" w:rsidRPr="00C63834" w:rsidRDefault="009F204A" w:rsidP="0073745D">
            <w:pPr>
              <w:pStyle w:val="NoSpacing"/>
              <w:jc w:val="both"/>
            </w:pPr>
            <w:r w:rsidRPr="00C63834">
              <w:t xml:space="preserve">The Corporation reserves the right to accept offer or reject any/all offer and also withdraw auction of any property without assigning any reason. </w:t>
            </w:r>
          </w:p>
        </w:tc>
      </w:tr>
      <w:tr w:rsidR="009F204A" w:rsidRPr="00C63834" w:rsidTr="009E4783">
        <w:trPr>
          <w:trHeight w:val="233"/>
        </w:trPr>
        <w:tc>
          <w:tcPr>
            <w:tcW w:w="522" w:type="dxa"/>
          </w:tcPr>
          <w:p w:rsidR="009F204A" w:rsidRPr="00C63834" w:rsidRDefault="009F204A" w:rsidP="005C4950">
            <w:pPr>
              <w:pStyle w:val="NoSpacing"/>
            </w:pPr>
            <w:r w:rsidRPr="00C63834">
              <w:t>15</w:t>
            </w:r>
          </w:p>
        </w:tc>
        <w:tc>
          <w:tcPr>
            <w:tcW w:w="10431" w:type="dxa"/>
          </w:tcPr>
          <w:p w:rsidR="009F204A" w:rsidRPr="00C63834" w:rsidRDefault="009F204A" w:rsidP="0073745D">
            <w:pPr>
              <w:pStyle w:val="NoSpacing"/>
              <w:jc w:val="both"/>
            </w:pPr>
            <w:r w:rsidRPr="00C63834">
              <w:t>GST and other taxes as may be applicable will be borne by prospective buyers.</w:t>
            </w:r>
          </w:p>
        </w:tc>
      </w:tr>
    </w:tbl>
    <w:p w:rsidR="006621D0" w:rsidRDefault="006621D0" w:rsidP="00E768DF">
      <w:pPr>
        <w:pStyle w:val="NoSpacing"/>
        <w:jc w:val="right"/>
      </w:pPr>
    </w:p>
    <w:p w:rsidR="00396815" w:rsidRPr="00C63834" w:rsidRDefault="0041595C" w:rsidP="00E768DF">
      <w:pPr>
        <w:pStyle w:val="NoSpacing"/>
        <w:jc w:val="right"/>
      </w:pPr>
      <w:r w:rsidRPr="00C63834">
        <w:t>MANAGING DIRECTOR</w:t>
      </w:r>
    </w:p>
    <w:p w:rsidR="0041595C" w:rsidRPr="00C63834" w:rsidRDefault="00CB3783" w:rsidP="00EE5FB8">
      <w:pPr>
        <w:pStyle w:val="NoSpacing"/>
        <w:jc w:val="right"/>
      </w:pPr>
      <w:proofErr w:type="gramStart"/>
      <w:r w:rsidRPr="00C63834">
        <w:t>Mobile</w:t>
      </w:r>
      <w:r w:rsidR="00BF7023" w:rsidRPr="00C63834">
        <w:t xml:space="preserve"> No.</w:t>
      </w:r>
      <w:proofErr w:type="gramEnd"/>
      <w:r w:rsidR="00BF7023" w:rsidRPr="00C63834">
        <w:t xml:space="preserve">  </w:t>
      </w:r>
      <w:r w:rsidRPr="00C63834">
        <w:t xml:space="preserve"> </w:t>
      </w:r>
      <w:r w:rsidR="00BF7023" w:rsidRPr="00C63834">
        <w:t>8559053556</w:t>
      </w:r>
      <w:proofErr w:type="gramStart"/>
      <w:r w:rsidR="00BF7023" w:rsidRPr="00C63834">
        <w:t xml:space="preserve">, </w:t>
      </w:r>
      <w:r w:rsidR="00394CE5" w:rsidRPr="00C63834">
        <w:t xml:space="preserve"> 9501515600,</w:t>
      </w:r>
      <w:r w:rsidR="002277AE" w:rsidRPr="00C63834">
        <w:t>9888932320</w:t>
      </w:r>
      <w:proofErr w:type="gramEnd"/>
    </w:p>
    <w:sectPr w:rsidR="0041595C" w:rsidRPr="00C63834" w:rsidSect="0073745D">
      <w:pgSz w:w="12240" w:h="20160" w:code="5"/>
      <w:pgMar w:top="270" w:right="540" w:bottom="27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4B1A"/>
    <w:multiLevelType w:val="hybridMultilevel"/>
    <w:tmpl w:val="85D02240"/>
    <w:lvl w:ilvl="0" w:tplc="DB48E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1296E"/>
    <w:multiLevelType w:val="hybridMultilevel"/>
    <w:tmpl w:val="1E868044"/>
    <w:lvl w:ilvl="0" w:tplc="7F2E7A02">
      <w:start w:val="8"/>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0952384"/>
    <w:multiLevelType w:val="hybridMultilevel"/>
    <w:tmpl w:val="8DAA4C6E"/>
    <w:lvl w:ilvl="0" w:tplc="D4E269EA">
      <w:start w:val="2"/>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353972"/>
    <w:rsid w:val="000104FC"/>
    <w:rsid w:val="00010DDB"/>
    <w:rsid w:val="00011345"/>
    <w:rsid w:val="00056A9D"/>
    <w:rsid w:val="000609CD"/>
    <w:rsid w:val="00064D62"/>
    <w:rsid w:val="00066CDB"/>
    <w:rsid w:val="000763C7"/>
    <w:rsid w:val="00094C76"/>
    <w:rsid w:val="000A0AE3"/>
    <w:rsid w:val="000A4437"/>
    <w:rsid w:val="000A6231"/>
    <w:rsid w:val="000D6940"/>
    <w:rsid w:val="000F5DD6"/>
    <w:rsid w:val="00104799"/>
    <w:rsid w:val="00134E04"/>
    <w:rsid w:val="001419C5"/>
    <w:rsid w:val="001419E4"/>
    <w:rsid w:val="00142977"/>
    <w:rsid w:val="00143DE4"/>
    <w:rsid w:val="00147FCD"/>
    <w:rsid w:val="00150ECC"/>
    <w:rsid w:val="001521D8"/>
    <w:rsid w:val="00163768"/>
    <w:rsid w:val="0016444B"/>
    <w:rsid w:val="00165A54"/>
    <w:rsid w:val="00170116"/>
    <w:rsid w:val="00181EFA"/>
    <w:rsid w:val="00185FCE"/>
    <w:rsid w:val="0019601A"/>
    <w:rsid w:val="001A1DA3"/>
    <w:rsid w:val="001B43D2"/>
    <w:rsid w:val="001C139B"/>
    <w:rsid w:val="001C41E6"/>
    <w:rsid w:val="001C763E"/>
    <w:rsid w:val="001C7896"/>
    <w:rsid w:val="001E43C3"/>
    <w:rsid w:val="001E51E8"/>
    <w:rsid w:val="001E7E10"/>
    <w:rsid w:val="002051A8"/>
    <w:rsid w:val="00217957"/>
    <w:rsid w:val="002238D2"/>
    <w:rsid w:val="002277AE"/>
    <w:rsid w:val="00231D19"/>
    <w:rsid w:val="002454ED"/>
    <w:rsid w:val="00254005"/>
    <w:rsid w:val="002554F1"/>
    <w:rsid w:val="00264369"/>
    <w:rsid w:val="002676C2"/>
    <w:rsid w:val="00290F98"/>
    <w:rsid w:val="002B07DD"/>
    <w:rsid w:val="002B0E92"/>
    <w:rsid w:val="002C0FFF"/>
    <w:rsid w:val="002F20CB"/>
    <w:rsid w:val="003230FA"/>
    <w:rsid w:val="00341B0B"/>
    <w:rsid w:val="00344045"/>
    <w:rsid w:val="00353972"/>
    <w:rsid w:val="00365B79"/>
    <w:rsid w:val="00371719"/>
    <w:rsid w:val="00394CE5"/>
    <w:rsid w:val="00396815"/>
    <w:rsid w:val="003A5F93"/>
    <w:rsid w:val="003B0BC5"/>
    <w:rsid w:val="003D6B18"/>
    <w:rsid w:val="003E3FA4"/>
    <w:rsid w:val="003F71B3"/>
    <w:rsid w:val="00402D03"/>
    <w:rsid w:val="0041401F"/>
    <w:rsid w:val="00414F50"/>
    <w:rsid w:val="0041595C"/>
    <w:rsid w:val="00424203"/>
    <w:rsid w:val="004323E6"/>
    <w:rsid w:val="004345D8"/>
    <w:rsid w:val="00466E14"/>
    <w:rsid w:val="00472CE4"/>
    <w:rsid w:val="004818F3"/>
    <w:rsid w:val="004B1A20"/>
    <w:rsid w:val="004B40AC"/>
    <w:rsid w:val="004C595D"/>
    <w:rsid w:val="004E1ABB"/>
    <w:rsid w:val="004E394A"/>
    <w:rsid w:val="004E4CC3"/>
    <w:rsid w:val="00507D22"/>
    <w:rsid w:val="00525D44"/>
    <w:rsid w:val="00527235"/>
    <w:rsid w:val="005343EB"/>
    <w:rsid w:val="00545BFE"/>
    <w:rsid w:val="00557664"/>
    <w:rsid w:val="00565BDA"/>
    <w:rsid w:val="00570ABA"/>
    <w:rsid w:val="005762C0"/>
    <w:rsid w:val="00577FE2"/>
    <w:rsid w:val="00580892"/>
    <w:rsid w:val="00584F18"/>
    <w:rsid w:val="00592729"/>
    <w:rsid w:val="00595984"/>
    <w:rsid w:val="005A57FF"/>
    <w:rsid w:val="005C3EC0"/>
    <w:rsid w:val="005C5DFD"/>
    <w:rsid w:val="005D00A4"/>
    <w:rsid w:val="005D62D1"/>
    <w:rsid w:val="005D6BD8"/>
    <w:rsid w:val="005E06C9"/>
    <w:rsid w:val="005E4AA5"/>
    <w:rsid w:val="005E4F90"/>
    <w:rsid w:val="005E4FAD"/>
    <w:rsid w:val="005E6FC1"/>
    <w:rsid w:val="005F2D1E"/>
    <w:rsid w:val="005F53F3"/>
    <w:rsid w:val="005F6131"/>
    <w:rsid w:val="006065F7"/>
    <w:rsid w:val="00612906"/>
    <w:rsid w:val="00615DE4"/>
    <w:rsid w:val="00621704"/>
    <w:rsid w:val="00621FAD"/>
    <w:rsid w:val="00637FC5"/>
    <w:rsid w:val="00643B36"/>
    <w:rsid w:val="006521A5"/>
    <w:rsid w:val="00661829"/>
    <w:rsid w:val="006621D0"/>
    <w:rsid w:val="00670838"/>
    <w:rsid w:val="00680538"/>
    <w:rsid w:val="006C669C"/>
    <w:rsid w:val="006E2627"/>
    <w:rsid w:val="006F1708"/>
    <w:rsid w:val="00706F24"/>
    <w:rsid w:val="00710ED2"/>
    <w:rsid w:val="00711F32"/>
    <w:rsid w:val="00735190"/>
    <w:rsid w:val="0073745D"/>
    <w:rsid w:val="007442BD"/>
    <w:rsid w:val="007508AC"/>
    <w:rsid w:val="007513D8"/>
    <w:rsid w:val="00753126"/>
    <w:rsid w:val="00756A27"/>
    <w:rsid w:val="007841AD"/>
    <w:rsid w:val="007A7F1D"/>
    <w:rsid w:val="007B2CDE"/>
    <w:rsid w:val="007E6512"/>
    <w:rsid w:val="007E755F"/>
    <w:rsid w:val="007F09D0"/>
    <w:rsid w:val="0080040D"/>
    <w:rsid w:val="00802ABC"/>
    <w:rsid w:val="0080589B"/>
    <w:rsid w:val="008073D9"/>
    <w:rsid w:val="00813E09"/>
    <w:rsid w:val="00815E68"/>
    <w:rsid w:val="00824575"/>
    <w:rsid w:val="00826013"/>
    <w:rsid w:val="008457C5"/>
    <w:rsid w:val="0085534C"/>
    <w:rsid w:val="00860174"/>
    <w:rsid w:val="00864C35"/>
    <w:rsid w:val="00867A62"/>
    <w:rsid w:val="0087562A"/>
    <w:rsid w:val="00876292"/>
    <w:rsid w:val="00886FE8"/>
    <w:rsid w:val="008C160E"/>
    <w:rsid w:val="008D1C8C"/>
    <w:rsid w:val="008E4CF5"/>
    <w:rsid w:val="008F11BC"/>
    <w:rsid w:val="009010A0"/>
    <w:rsid w:val="00911BC8"/>
    <w:rsid w:val="00911EC3"/>
    <w:rsid w:val="009150C5"/>
    <w:rsid w:val="00915D1F"/>
    <w:rsid w:val="009270F0"/>
    <w:rsid w:val="00932E14"/>
    <w:rsid w:val="00936FA5"/>
    <w:rsid w:val="00937194"/>
    <w:rsid w:val="0094428B"/>
    <w:rsid w:val="00945A50"/>
    <w:rsid w:val="00954838"/>
    <w:rsid w:val="00954903"/>
    <w:rsid w:val="00960268"/>
    <w:rsid w:val="0096316F"/>
    <w:rsid w:val="00971254"/>
    <w:rsid w:val="00971D68"/>
    <w:rsid w:val="00972951"/>
    <w:rsid w:val="00976A11"/>
    <w:rsid w:val="009807F5"/>
    <w:rsid w:val="00982130"/>
    <w:rsid w:val="00982903"/>
    <w:rsid w:val="00985F5B"/>
    <w:rsid w:val="009B36F0"/>
    <w:rsid w:val="009B6D2D"/>
    <w:rsid w:val="009C03D3"/>
    <w:rsid w:val="009C0EE2"/>
    <w:rsid w:val="009C5011"/>
    <w:rsid w:val="009C6E24"/>
    <w:rsid w:val="009E4783"/>
    <w:rsid w:val="009F0A1E"/>
    <w:rsid w:val="009F204A"/>
    <w:rsid w:val="009F2EFD"/>
    <w:rsid w:val="00A01980"/>
    <w:rsid w:val="00A0458E"/>
    <w:rsid w:val="00A1328B"/>
    <w:rsid w:val="00A14A4D"/>
    <w:rsid w:val="00A2060A"/>
    <w:rsid w:val="00A428D4"/>
    <w:rsid w:val="00A43ED5"/>
    <w:rsid w:val="00A558F1"/>
    <w:rsid w:val="00A60227"/>
    <w:rsid w:val="00A63EAE"/>
    <w:rsid w:val="00A64736"/>
    <w:rsid w:val="00A83962"/>
    <w:rsid w:val="00A8600D"/>
    <w:rsid w:val="00AA099B"/>
    <w:rsid w:val="00AA45C9"/>
    <w:rsid w:val="00AA7367"/>
    <w:rsid w:val="00AB6D5F"/>
    <w:rsid w:val="00AC58B5"/>
    <w:rsid w:val="00AC6B9D"/>
    <w:rsid w:val="00AD6304"/>
    <w:rsid w:val="00AD74F3"/>
    <w:rsid w:val="00AE178E"/>
    <w:rsid w:val="00B04A87"/>
    <w:rsid w:val="00B077AA"/>
    <w:rsid w:val="00B331D5"/>
    <w:rsid w:val="00B61B13"/>
    <w:rsid w:val="00B70ACE"/>
    <w:rsid w:val="00B92788"/>
    <w:rsid w:val="00B9344A"/>
    <w:rsid w:val="00BA2AAA"/>
    <w:rsid w:val="00BB71E0"/>
    <w:rsid w:val="00BD6592"/>
    <w:rsid w:val="00BE01A3"/>
    <w:rsid w:val="00BE42F1"/>
    <w:rsid w:val="00BE50A5"/>
    <w:rsid w:val="00BF2324"/>
    <w:rsid w:val="00BF502A"/>
    <w:rsid w:val="00BF678E"/>
    <w:rsid w:val="00BF7023"/>
    <w:rsid w:val="00BF717D"/>
    <w:rsid w:val="00C25C41"/>
    <w:rsid w:val="00C26744"/>
    <w:rsid w:val="00C32DFB"/>
    <w:rsid w:val="00C545E7"/>
    <w:rsid w:val="00C63834"/>
    <w:rsid w:val="00C63FF3"/>
    <w:rsid w:val="00C71280"/>
    <w:rsid w:val="00C76DB1"/>
    <w:rsid w:val="00C82D78"/>
    <w:rsid w:val="00C8620E"/>
    <w:rsid w:val="00C87B50"/>
    <w:rsid w:val="00C95DB1"/>
    <w:rsid w:val="00CA77BB"/>
    <w:rsid w:val="00CB3783"/>
    <w:rsid w:val="00CC09AC"/>
    <w:rsid w:val="00CC6F36"/>
    <w:rsid w:val="00CD0D5D"/>
    <w:rsid w:val="00CE5D22"/>
    <w:rsid w:val="00CF1386"/>
    <w:rsid w:val="00D029FF"/>
    <w:rsid w:val="00D052F8"/>
    <w:rsid w:val="00D1385B"/>
    <w:rsid w:val="00D14A94"/>
    <w:rsid w:val="00D263F2"/>
    <w:rsid w:val="00D26E27"/>
    <w:rsid w:val="00D27E62"/>
    <w:rsid w:val="00D40653"/>
    <w:rsid w:val="00D50289"/>
    <w:rsid w:val="00D52237"/>
    <w:rsid w:val="00D654FD"/>
    <w:rsid w:val="00D66639"/>
    <w:rsid w:val="00D719E8"/>
    <w:rsid w:val="00D7743B"/>
    <w:rsid w:val="00D81B5B"/>
    <w:rsid w:val="00D938A0"/>
    <w:rsid w:val="00D94128"/>
    <w:rsid w:val="00D97D4C"/>
    <w:rsid w:val="00DA1176"/>
    <w:rsid w:val="00DC5E35"/>
    <w:rsid w:val="00DD3022"/>
    <w:rsid w:val="00DD51A7"/>
    <w:rsid w:val="00DE00DC"/>
    <w:rsid w:val="00E04911"/>
    <w:rsid w:val="00E12587"/>
    <w:rsid w:val="00E134D2"/>
    <w:rsid w:val="00E146D7"/>
    <w:rsid w:val="00E2691A"/>
    <w:rsid w:val="00E3027A"/>
    <w:rsid w:val="00E40280"/>
    <w:rsid w:val="00E40C0D"/>
    <w:rsid w:val="00E41BBB"/>
    <w:rsid w:val="00E42986"/>
    <w:rsid w:val="00E464A6"/>
    <w:rsid w:val="00E57730"/>
    <w:rsid w:val="00E6646B"/>
    <w:rsid w:val="00E670C8"/>
    <w:rsid w:val="00E6711A"/>
    <w:rsid w:val="00E67BF5"/>
    <w:rsid w:val="00E768DF"/>
    <w:rsid w:val="00E86842"/>
    <w:rsid w:val="00EC28DE"/>
    <w:rsid w:val="00EC34D8"/>
    <w:rsid w:val="00EC7D27"/>
    <w:rsid w:val="00ED18F8"/>
    <w:rsid w:val="00ED28B7"/>
    <w:rsid w:val="00EE5FB8"/>
    <w:rsid w:val="00F1496E"/>
    <w:rsid w:val="00F14AE9"/>
    <w:rsid w:val="00F15DFD"/>
    <w:rsid w:val="00F16846"/>
    <w:rsid w:val="00F23A2E"/>
    <w:rsid w:val="00F246DB"/>
    <w:rsid w:val="00F26A50"/>
    <w:rsid w:val="00F36111"/>
    <w:rsid w:val="00F529A2"/>
    <w:rsid w:val="00F62F89"/>
    <w:rsid w:val="00F70BAD"/>
    <w:rsid w:val="00F80035"/>
    <w:rsid w:val="00F858D6"/>
    <w:rsid w:val="00F9313F"/>
    <w:rsid w:val="00F9661C"/>
    <w:rsid w:val="00FA29ED"/>
    <w:rsid w:val="00FA683B"/>
    <w:rsid w:val="00FB2BC0"/>
    <w:rsid w:val="00FC6FE6"/>
    <w:rsid w:val="00FD0075"/>
    <w:rsid w:val="00FE08BB"/>
    <w:rsid w:val="00FE0BF5"/>
    <w:rsid w:val="00FE5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A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9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E43C3"/>
    <w:pPr>
      <w:spacing w:after="0" w:line="240" w:lineRule="auto"/>
    </w:pPr>
  </w:style>
  <w:style w:type="paragraph" w:styleId="BalloonText">
    <w:name w:val="Balloon Text"/>
    <w:basedOn w:val="Normal"/>
    <w:link w:val="BalloonTextChar"/>
    <w:uiPriority w:val="99"/>
    <w:semiHidden/>
    <w:unhideWhenUsed/>
    <w:rsid w:val="00394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C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919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9C97B-6CA1-4128-AAC5-4F54684FF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PFC</dc:creator>
  <cp:lastModifiedBy>Ritu</cp:lastModifiedBy>
  <cp:revision>2</cp:revision>
  <cp:lastPrinted>2018-04-12T04:33:00Z</cp:lastPrinted>
  <dcterms:created xsi:type="dcterms:W3CDTF">2018-04-13T09:51:00Z</dcterms:created>
  <dcterms:modified xsi:type="dcterms:W3CDTF">2018-04-13T09:51:00Z</dcterms:modified>
</cp:coreProperties>
</file>